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08" w:type="dxa"/>
        <w:tblInd w:w="-5" w:type="dxa"/>
        <w:tblLook w:val="04A0" w:firstRow="1" w:lastRow="0" w:firstColumn="1" w:lastColumn="0" w:noHBand="0" w:noVBand="1"/>
      </w:tblPr>
      <w:tblGrid>
        <w:gridCol w:w="960"/>
        <w:gridCol w:w="2017"/>
        <w:gridCol w:w="7796"/>
        <w:gridCol w:w="2835"/>
      </w:tblGrid>
      <w:tr w:rsidR="00D409C7" w:rsidRPr="0048051A" w14:paraId="37638F72" w14:textId="77777777" w:rsidTr="00C52D51">
        <w:trPr>
          <w:trHeight w:val="300"/>
        </w:trPr>
        <w:tc>
          <w:tcPr>
            <w:tcW w:w="960" w:type="dxa"/>
            <w:tcBorders>
              <w:top w:val="single" w:sz="4" w:space="0" w:color="auto"/>
              <w:left w:val="single" w:sz="4" w:space="0" w:color="auto"/>
              <w:bottom w:val="single" w:sz="4" w:space="0" w:color="auto"/>
              <w:right w:val="single" w:sz="4" w:space="0" w:color="auto"/>
            </w:tcBorders>
            <w:hideMark/>
          </w:tcPr>
          <w:p w14:paraId="216C8115" w14:textId="77777777"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Sr. No</w:t>
            </w:r>
          </w:p>
        </w:tc>
        <w:tc>
          <w:tcPr>
            <w:tcW w:w="2017" w:type="dxa"/>
            <w:tcBorders>
              <w:top w:val="single" w:sz="4" w:space="0" w:color="auto"/>
              <w:left w:val="nil"/>
              <w:bottom w:val="single" w:sz="4" w:space="0" w:color="auto"/>
              <w:right w:val="single" w:sz="4" w:space="0" w:color="auto"/>
            </w:tcBorders>
            <w:hideMark/>
          </w:tcPr>
          <w:p w14:paraId="5AA0C64A" w14:textId="77777777"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Section/Clause Reference</w:t>
            </w:r>
          </w:p>
        </w:tc>
        <w:tc>
          <w:tcPr>
            <w:tcW w:w="7796" w:type="dxa"/>
            <w:tcBorders>
              <w:top w:val="single" w:sz="4" w:space="0" w:color="auto"/>
              <w:left w:val="nil"/>
              <w:bottom w:val="single" w:sz="4" w:space="0" w:color="auto"/>
              <w:right w:val="single" w:sz="4" w:space="0" w:color="auto"/>
            </w:tcBorders>
            <w:hideMark/>
          </w:tcPr>
          <w:p w14:paraId="1503CF76" w14:textId="4CFD77EB"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hAnsi="Book Antiqua" w:cs="Calibri"/>
                <w:b/>
                <w:bCs/>
                <w:szCs w:val="22"/>
              </w:rPr>
              <w:t>Bidders Queries</w:t>
            </w:r>
          </w:p>
        </w:tc>
        <w:tc>
          <w:tcPr>
            <w:tcW w:w="2835" w:type="dxa"/>
            <w:tcBorders>
              <w:top w:val="single" w:sz="4" w:space="0" w:color="auto"/>
              <w:left w:val="nil"/>
              <w:bottom w:val="single" w:sz="4" w:space="0" w:color="auto"/>
              <w:right w:val="single" w:sz="4" w:space="0" w:color="auto"/>
            </w:tcBorders>
            <w:hideMark/>
          </w:tcPr>
          <w:p w14:paraId="4E3A8DED" w14:textId="7A700AFA"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hAnsi="Book Antiqua" w:cs="Calibri"/>
                <w:b/>
                <w:bCs/>
                <w:szCs w:val="22"/>
              </w:rPr>
              <w:t>POWERGRID Reply</w:t>
            </w:r>
          </w:p>
        </w:tc>
      </w:tr>
      <w:tr w:rsidR="00500A06" w:rsidRPr="0048051A" w14:paraId="34FD3475" w14:textId="77777777" w:rsidTr="00C52D51">
        <w:trPr>
          <w:trHeight w:val="558"/>
        </w:trPr>
        <w:tc>
          <w:tcPr>
            <w:tcW w:w="960" w:type="dxa"/>
            <w:tcBorders>
              <w:top w:val="single" w:sz="4" w:space="0" w:color="auto"/>
              <w:left w:val="single" w:sz="4" w:space="0" w:color="auto"/>
              <w:bottom w:val="single" w:sz="4" w:space="0" w:color="auto"/>
              <w:right w:val="single" w:sz="4" w:space="0" w:color="auto"/>
            </w:tcBorders>
            <w:hideMark/>
          </w:tcPr>
          <w:p w14:paraId="0182D3CC" w14:textId="77777777" w:rsidR="00500A06" w:rsidRPr="0048051A" w:rsidRDefault="00500A06" w:rsidP="00E057B9">
            <w:pPr>
              <w:spacing w:after="0" w:line="240" w:lineRule="auto"/>
              <w:jc w:val="center"/>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1</w:t>
            </w:r>
          </w:p>
        </w:tc>
        <w:tc>
          <w:tcPr>
            <w:tcW w:w="2017" w:type="dxa"/>
            <w:tcBorders>
              <w:top w:val="single" w:sz="4" w:space="0" w:color="auto"/>
              <w:left w:val="nil"/>
              <w:bottom w:val="single" w:sz="4" w:space="0" w:color="auto"/>
              <w:right w:val="single" w:sz="4" w:space="0" w:color="auto"/>
            </w:tcBorders>
            <w:hideMark/>
          </w:tcPr>
          <w:p w14:paraId="1303E240" w14:textId="7CA4D89F" w:rsidR="00500A06" w:rsidRPr="0048051A" w:rsidRDefault="00500A06" w:rsidP="002C5028">
            <w:pPr>
              <w:spacing w:after="0" w:line="240" w:lineRule="auto"/>
              <w:rPr>
                <w:rFonts w:ascii="Book Antiqua" w:eastAsia="Times New Roman" w:hAnsi="Book Antiqua" w:cs="Calibri"/>
                <w:color w:val="1F1F1F"/>
                <w:kern w:val="0"/>
                <w:szCs w:val="22"/>
                <w:lang w:eastAsia="en-IN"/>
                <w14:ligatures w14:val="none"/>
              </w:rPr>
            </w:pPr>
            <w:r w:rsidRPr="0048051A">
              <w:rPr>
                <w:rFonts w:ascii="Book Antiqua" w:eastAsia="Times New Roman" w:hAnsi="Book Antiqua" w:cs="Calibri"/>
                <w:color w:val="1F1F1F"/>
                <w:kern w:val="0"/>
                <w:szCs w:val="22"/>
                <w:lang w:eastAsia="en-IN"/>
                <w14:ligatures w14:val="none"/>
              </w:rPr>
              <w:t>__</w:t>
            </w:r>
          </w:p>
        </w:tc>
        <w:tc>
          <w:tcPr>
            <w:tcW w:w="7796" w:type="dxa"/>
            <w:tcBorders>
              <w:top w:val="single" w:sz="4" w:space="0" w:color="auto"/>
              <w:left w:val="nil"/>
              <w:bottom w:val="single" w:sz="4" w:space="0" w:color="auto"/>
              <w:right w:val="single" w:sz="4" w:space="0" w:color="auto"/>
            </w:tcBorders>
            <w:hideMark/>
          </w:tcPr>
          <w:p w14:paraId="33F52AB8" w14:textId="77777777" w:rsidR="00500A06" w:rsidRPr="0048051A" w:rsidRDefault="00500A06"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 With reference to the above-mentioned HTLS reconductoring tender, we have reviewed the technical scope, contractual terms, and cost provisions. Our assessment indicates that the current estimated cost is based on earlier market conditions and does not reflect the prevailing price levels. </w:t>
            </w:r>
          </w:p>
          <w:p w14:paraId="5F74968E" w14:textId="77777777" w:rsidR="00500A06" w:rsidRPr="0048051A" w:rsidRDefault="00500A06"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Since the last comparable award in 2024, conductor-related costs have risen sharply. </w:t>
            </w:r>
            <w:proofErr w:type="spellStart"/>
            <w:r w:rsidRPr="0048051A">
              <w:rPr>
                <w:rFonts w:ascii="Book Antiqua" w:eastAsia="Times New Roman" w:hAnsi="Book Antiqua" w:cs="Calibri"/>
                <w:color w:val="000000"/>
                <w:kern w:val="0"/>
                <w:szCs w:val="22"/>
                <w:lang w:eastAsia="en-IN"/>
                <w14:ligatures w14:val="none"/>
              </w:rPr>
              <w:t>Aluminum</w:t>
            </w:r>
            <w:proofErr w:type="spellEnd"/>
            <w:r w:rsidRPr="0048051A">
              <w:rPr>
                <w:rFonts w:ascii="Book Antiqua" w:eastAsia="Times New Roman" w:hAnsi="Book Antiqua" w:cs="Calibri"/>
                <w:color w:val="000000"/>
                <w:kern w:val="0"/>
                <w:szCs w:val="22"/>
                <w:lang w:eastAsia="en-IN"/>
                <w14:ligatures w14:val="none"/>
              </w:rPr>
              <w:t xml:space="preserve"> prices have increased from </w:t>
            </w:r>
            <w:r w:rsidRPr="0048051A">
              <w:rPr>
                <w:rFonts w:ascii="Book Antiqua" w:eastAsia="Times New Roman" w:hAnsi="Book Antiqua" w:cs="Calibri"/>
                <w:b/>
                <w:bCs/>
                <w:color w:val="000000"/>
                <w:kern w:val="0"/>
                <w:szCs w:val="22"/>
                <w:lang w:eastAsia="en-IN"/>
                <w14:ligatures w14:val="none"/>
              </w:rPr>
              <w:t xml:space="preserve">USD 2,200/MT </w:t>
            </w:r>
            <w:r w:rsidRPr="0048051A">
              <w:rPr>
                <w:rFonts w:ascii="Book Antiqua" w:eastAsia="Times New Roman" w:hAnsi="Book Antiqua" w:cs="Calibri"/>
                <w:color w:val="000000"/>
                <w:kern w:val="0"/>
                <w:szCs w:val="22"/>
                <w:lang w:eastAsia="en-IN"/>
                <w14:ligatures w14:val="none"/>
              </w:rPr>
              <w:t xml:space="preserve">to </w:t>
            </w:r>
            <w:r w:rsidRPr="0048051A">
              <w:rPr>
                <w:rFonts w:ascii="Book Antiqua" w:eastAsia="Times New Roman" w:hAnsi="Book Antiqua" w:cs="Calibri"/>
                <w:b/>
                <w:bCs/>
                <w:color w:val="000000"/>
                <w:kern w:val="0"/>
                <w:szCs w:val="22"/>
                <w:lang w:eastAsia="en-IN"/>
                <w14:ligatures w14:val="none"/>
              </w:rPr>
              <w:t xml:space="preserve">USD 3,500/MT </w:t>
            </w:r>
            <w:r w:rsidRPr="0048051A">
              <w:rPr>
                <w:rFonts w:ascii="Book Antiqua" w:eastAsia="Times New Roman" w:hAnsi="Book Antiqua" w:cs="Calibri"/>
                <w:color w:val="000000"/>
                <w:kern w:val="0"/>
                <w:szCs w:val="22"/>
                <w:lang w:eastAsia="en-IN"/>
                <w14:ligatures w14:val="none"/>
              </w:rPr>
              <w:t>(≈</w:t>
            </w:r>
            <w:r w:rsidRPr="0048051A">
              <w:rPr>
                <w:rFonts w:ascii="Book Antiqua" w:eastAsia="Times New Roman" w:hAnsi="Book Antiqua" w:cs="Calibri"/>
                <w:b/>
                <w:bCs/>
                <w:color w:val="000000"/>
                <w:kern w:val="0"/>
                <w:szCs w:val="22"/>
                <w:lang w:eastAsia="en-IN"/>
                <w14:ligatures w14:val="none"/>
              </w:rPr>
              <w:t xml:space="preserve">59% </w:t>
            </w:r>
            <w:r w:rsidRPr="0048051A">
              <w:rPr>
                <w:rFonts w:ascii="Book Antiqua" w:eastAsia="Times New Roman" w:hAnsi="Book Antiqua" w:cs="Calibri"/>
                <w:color w:val="000000"/>
                <w:kern w:val="0"/>
                <w:szCs w:val="22"/>
                <w:lang w:eastAsia="en-IN"/>
                <w14:ligatures w14:val="none"/>
              </w:rPr>
              <w:t xml:space="preserve">rise), while the USD–INR exchange rate has moved from </w:t>
            </w:r>
            <w:r w:rsidRPr="0048051A">
              <w:rPr>
                <w:rFonts w:ascii="Times New Roman" w:eastAsia="Times New Roman" w:hAnsi="Times New Roman" w:cs="Times New Roman"/>
                <w:b/>
                <w:bCs/>
                <w:color w:val="000000"/>
                <w:kern w:val="0"/>
                <w:szCs w:val="22"/>
                <w:lang w:eastAsia="en-IN"/>
                <w14:ligatures w14:val="none"/>
              </w:rPr>
              <w:t>₹</w:t>
            </w:r>
            <w:r w:rsidRPr="0048051A">
              <w:rPr>
                <w:rFonts w:ascii="Book Antiqua" w:eastAsia="Times New Roman" w:hAnsi="Book Antiqua" w:cs="Calibri"/>
                <w:b/>
                <w:bCs/>
                <w:color w:val="000000"/>
                <w:kern w:val="0"/>
                <w:szCs w:val="22"/>
                <w:lang w:eastAsia="en-IN"/>
                <w14:ligatures w14:val="none"/>
              </w:rPr>
              <w:t xml:space="preserve">84 </w:t>
            </w:r>
            <w:r w:rsidRPr="0048051A">
              <w:rPr>
                <w:rFonts w:ascii="Book Antiqua" w:eastAsia="Times New Roman" w:hAnsi="Book Antiqua" w:cs="Calibri"/>
                <w:color w:val="000000"/>
                <w:kern w:val="0"/>
                <w:szCs w:val="22"/>
                <w:lang w:eastAsia="en-IN"/>
                <w14:ligatures w14:val="none"/>
              </w:rPr>
              <w:t xml:space="preserve">to </w:t>
            </w:r>
            <w:r w:rsidRPr="0048051A">
              <w:rPr>
                <w:rFonts w:ascii="Times New Roman" w:eastAsia="Times New Roman" w:hAnsi="Times New Roman" w:cs="Times New Roman"/>
                <w:b/>
                <w:bCs/>
                <w:color w:val="000000"/>
                <w:kern w:val="0"/>
                <w:szCs w:val="22"/>
                <w:lang w:eastAsia="en-IN"/>
                <w14:ligatures w14:val="none"/>
              </w:rPr>
              <w:t>₹</w:t>
            </w:r>
            <w:r w:rsidRPr="0048051A">
              <w:rPr>
                <w:rFonts w:ascii="Book Antiqua" w:eastAsia="Times New Roman" w:hAnsi="Book Antiqua" w:cs="Calibri"/>
                <w:b/>
                <w:bCs/>
                <w:color w:val="000000"/>
                <w:kern w:val="0"/>
                <w:szCs w:val="22"/>
                <w:lang w:eastAsia="en-IN"/>
                <w14:ligatures w14:val="none"/>
              </w:rPr>
              <w:t xml:space="preserve">94 </w:t>
            </w:r>
            <w:r w:rsidRPr="0048051A">
              <w:rPr>
                <w:rFonts w:ascii="Book Antiqua" w:eastAsia="Times New Roman" w:hAnsi="Book Antiqua" w:cs="Calibri"/>
                <w:color w:val="000000"/>
                <w:kern w:val="0"/>
                <w:szCs w:val="22"/>
                <w:lang w:eastAsia="en-IN"/>
                <w14:ligatures w14:val="none"/>
              </w:rPr>
              <w:t>(≈</w:t>
            </w:r>
            <w:r w:rsidRPr="0048051A">
              <w:rPr>
                <w:rFonts w:ascii="Book Antiqua" w:eastAsia="Times New Roman" w:hAnsi="Book Antiqua" w:cs="Calibri"/>
                <w:b/>
                <w:bCs/>
                <w:color w:val="000000"/>
                <w:kern w:val="0"/>
                <w:szCs w:val="22"/>
                <w:lang w:eastAsia="en-IN"/>
                <w14:ligatures w14:val="none"/>
              </w:rPr>
              <w:t xml:space="preserve">12% </w:t>
            </w:r>
            <w:r w:rsidRPr="0048051A">
              <w:rPr>
                <w:rFonts w:ascii="Book Antiqua" w:eastAsia="Times New Roman" w:hAnsi="Book Antiqua" w:cs="Calibri"/>
                <w:color w:val="000000"/>
                <w:kern w:val="0"/>
                <w:szCs w:val="22"/>
                <w:lang w:eastAsia="en-IN"/>
                <w14:ligatures w14:val="none"/>
              </w:rPr>
              <w:t xml:space="preserve">rise). The combined impact of these two critical parameters has resulted in an increase from </w:t>
            </w:r>
            <w:r w:rsidRPr="0048051A">
              <w:rPr>
                <w:rFonts w:ascii="Times New Roman" w:eastAsia="Times New Roman" w:hAnsi="Times New Roman" w:cs="Times New Roman"/>
                <w:b/>
                <w:bCs/>
                <w:color w:val="000000"/>
                <w:kern w:val="0"/>
                <w:szCs w:val="22"/>
                <w:lang w:eastAsia="en-IN"/>
                <w14:ligatures w14:val="none"/>
              </w:rPr>
              <w:t>₹</w:t>
            </w:r>
            <w:r w:rsidRPr="0048051A">
              <w:rPr>
                <w:rFonts w:ascii="Book Antiqua" w:eastAsia="Times New Roman" w:hAnsi="Book Antiqua" w:cs="Calibri"/>
                <w:b/>
                <w:bCs/>
                <w:color w:val="000000"/>
                <w:kern w:val="0"/>
                <w:szCs w:val="22"/>
                <w:lang w:eastAsia="en-IN"/>
                <w14:ligatures w14:val="none"/>
              </w:rPr>
              <w:t xml:space="preserve">184,800/MT </w:t>
            </w:r>
            <w:r w:rsidRPr="0048051A">
              <w:rPr>
                <w:rFonts w:ascii="Book Antiqua" w:eastAsia="Times New Roman" w:hAnsi="Book Antiqua" w:cs="Calibri"/>
                <w:color w:val="000000"/>
                <w:kern w:val="0"/>
                <w:szCs w:val="22"/>
                <w:lang w:eastAsia="en-IN"/>
                <w14:ligatures w14:val="none"/>
              </w:rPr>
              <w:t xml:space="preserve">to </w:t>
            </w:r>
            <w:r w:rsidRPr="0048051A">
              <w:rPr>
                <w:rFonts w:ascii="Times New Roman" w:eastAsia="Times New Roman" w:hAnsi="Times New Roman" w:cs="Times New Roman"/>
                <w:b/>
                <w:bCs/>
                <w:color w:val="000000"/>
                <w:kern w:val="0"/>
                <w:szCs w:val="22"/>
                <w:lang w:eastAsia="en-IN"/>
                <w14:ligatures w14:val="none"/>
              </w:rPr>
              <w:t>₹</w:t>
            </w:r>
            <w:r w:rsidRPr="0048051A">
              <w:rPr>
                <w:rFonts w:ascii="Book Antiqua" w:eastAsia="Times New Roman" w:hAnsi="Book Antiqua" w:cs="Calibri"/>
                <w:b/>
                <w:bCs/>
                <w:color w:val="000000"/>
                <w:kern w:val="0"/>
                <w:szCs w:val="22"/>
                <w:lang w:eastAsia="en-IN"/>
                <w14:ligatures w14:val="none"/>
              </w:rPr>
              <w:t>329,000/MT</w:t>
            </w:r>
            <w:r w:rsidRPr="0048051A">
              <w:rPr>
                <w:rFonts w:ascii="Book Antiqua" w:eastAsia="Times New Roman" w:hAnsi="Book Antiqua" w:cs="Calibri"/>
                <w:color w:val="000000"/>
                <w:kern w:val="0"/>
                <w:szCs w:val="22"/>
                <w:lang w:eastAsia="en-IN"/>
                <w14:ligatures w14:val="none"/>
              </w:rPr>
              <w:t xml:space="preserve">, representing an overall escalation of approximately </w:t>
            </w:r>
            <w:r w:rsidRPr="0048051A">
              <w:rPr>
                <w:rFonts w:ascii="Book Antiqua" w:eastAsia="Times New Roman" w:hAnsi="Book Antiqua" w:cs="Calibri"/>
                <w:b/>
                <w:bCs/>
                <w:color w:val="000000"/>
                <w:kern w:val="0"/>
                <w:szCs w:val="22"/>
                <w:lang w:eastAsia="en-IN"/>
                <w14:ligatures w14:val="none"/>
              </w:rPr>
              <w:t xml:space="preserve">78% </w:t>
            </w:r>
            <w:r w:rsidRPr="0048051A">
              <w:rPr>
                <w:rFonts w:ascii="Book Antiqua" w:eastAsia="Times New Roman" w:hAnsi="Book Antiqua" w:cs="Calibri"/>
                <w:color w:val="000000"/>
                <w:kern w:val="0"/>
                <w:szCs w:val="22"/>
                <w:lang w:eastAsia="en-IN"/>
                <w14:ligatures w14:val="none"/>
              </w:rPr>
              <w:t xml:space="preserve">in conductor costs. </w:t>
            </w:r>
          </w:p>
          <w:p w14:paraId="16C0AAE4" w14:textId="77777777" w:rsidR="00500A06" w:rsidRPr="0048051A" w:rsidRDefault="00500A06"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Additionally, service and installation costs have increased by </w:t>
            </w:r>
            <w:r w:rsidRPr="0048051A">
              <w:rPr>
                <w:rFonts w:ascii="Book Antiqua" w:eastAsia="Times New Roman" w:hAnsi="Book Antiqua" w:cs="Calibri"/>
                <w:b/>
                <w:bCs/>
                <w:color w:val="000000"/>
                <w:kern w:val="0"/>
                <w:szCs w:val="22"/>
                <w:lang w:eastAsia="en-IN"/>
                <w14:ligatures w14:val="none"/>
              </w:rPr>
              <w:t xml:space="preserve">10–20% </w:t>
            </w:r>
            <w:r w:rsidRPr="0048051A">
              <w:rPr>
                <w:rFonts w:ascii="Book Antiqua" w:eastAsia="Times New Roman" w:hAnsi="Book Antiqua" w:cs="Calibri"/>
                <w:color w:val="000000"/>
                <w:kern w:val="0"/>
                <w:szCs w:val="22"/>
                <w:lang w:eastAsia="en-IN"/>
                <w14:ligatures w14:val="none"/>
              </w:rPr>
              <w:t xml:space="preserve">over this period, further affecting the project’s commercial viability. </w:t>
            </w:r>
          </w:p>
          <w:p w14:paraId="7868B67B" w14:textId="77777777" w:rsidR="00500A06" w:rsidRPr="0048051A" w:rsidRDefault="00500A06"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Considering these significant cost escalations, quoting within the existing estimate is not feasible. An enhancement of approximately minimum </w:t>
            </w:r>
            <w:r w:rsidRPr="0048051A">
              <w:rPr>
                <w:rFonts w:ascii="Book Antiqua" w:eastAsia="Times New Roman" w:hAnsi="Book Antiqua" w:cs="Calibri"/>
                <w:b/>
                <w:bCs/>
                <w:color w:val="000000"/>
                <w:kern w:val="0"/>
                <w:szCs w:val="22"/>
                <w:lang w:eastAsia="en-IN"/>
                <w14:ligatures w14:val="none"/>
              </w:rPr>
              <w:t xml:space="preserve">30–40% </w:t>
            </w:r>
            <w:r w:rsidRPr="0048051A">
              <w:rPr>
                <w:rFonts w:ascii="Book Antiqua" w:eastAsia="Times New Roman" w:hAnsi="Book Antiqua" w:cs="Calibri"/>
                <w:color w:val="000000"/>
                <w:kern w:val="0"/>
                <w:szCs w:val="22"/>
                <w:lang w:eastAsia="en-IN"/>
                <w14:ligatures w14:val="none"/>
              </w:rPr>
              <w:t xml:space="preserve">over the current estimated cost would be essential to ensure efficient execution with the required quality and safety standards. </w:t>
            </w:r>
          </w:p>
          <w:p w14:paraId="642D7BBA" w14:textId="435C2E23" w:rsidR="00500A06" w:rsidRPr="0048051A" w:rsidRDefault="00500A06"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M/s</w:t>
            </w:r>
            <w:r w:rsidRPr="00232BDA">
              <w:rPr>
                <w:rFonts w:ascii="Book Antiqua" w:eastAsia="Times New Roman" w:hAnsi="Book Antiqua" w:cs="Calibri"/>
                <w:color w:val="000000"/>
                <w:kern w:val="0"/>
                <w:szCs w:val="22"/>
                <w:lang w:eastAsia="en-IN"/>
                <w14:ligatures w14:val="none"/>
              </w:rPr>
              <w:t xml:space="preserve"> </w:t>
            </w:r>
            <w:r w:rsidR="00E057B9" w:rsidRPr="00232BDA">
              <w:rPr>
                <w:rFonts w:ascii="Book Antiqua" w:eastAsia="Times New Roman" w:hAnsi="Book Antiqua" w:cs="Calibri"/>
                <w:color w:val="000000"/>
                <w:kern w:val="0"/>
                <w:szCs w:val="22"/>
                <w:lang w:eastAsia="en-IN"/>
                <w14:ligatures w14:val="none"/>
              </w:rPr>
              <w:t>XXXXX</w:t>
            </w:r>
            <w:r w:rsidRPr="0048051A">
              <w:rPr>
                <w:rFonts w:ascii="Book Antiqua" w:eastAsia="Times New Roman" w:hAnsi="Book Antiqua" w:cs="Calibri"/>
                <w:b/>
                <w:bCs/>
                <w:color w:val="000000"/>
                <w:kern w:val="0"/>
                <w:szCs w:val="22"/>
                <w:lang w:eastAsia="en-IN"/>
                <w14:ligatures w14:val="none"/>
              </w:rPr>
              <w:t xml:space="preserve"> </w:t>
            </w:r>
            <w:r w:rsidRPr="0048051A">
              <w:rPr>
                <w:rFonts w:ascii="Book Antiqua" w:eastAsia="Times New Roman" w:hAnsi="Book Antiqua" w:cs="Calibri"/>
                <w:color w:val="000000"/>
                <w:kern w:val="0"/>
                <w:szCs w:val="22"/>
                <w:lang w:eastAsia="en-IN"/>
                <w14:ligatures w14:val="none"/>
              </w:rPr>
              <w:t xml:space="preserve">remains fully committed to participating in this important project and values its longstanding association with </w:t>
            </w:r>
            <w:r w:rsidRPr="0048051A">
              <w:rPr>
                <w:rFonts w:ascii="Book Antiqua" w:eastAsia="Times New Roman" w:hAnsi="Book Antiqua" w:cs="Calibri"/>
                <w:b/>
                <w:bCs/>
                <w:color w:val="000000"/>
                <w:kern w:val="0"/>
                <w:szCs w:val="22"/>
                <w:lang w:eastAsia="en-IN"/>
                <w14:ligatures w14:val="none"/>
              </w:rPr>
              <w:t>PGCIL</w:t>
            </w:r>
            <w:r w:rsidRPr="0048051A">
              <w:rPr>
                <w:rFonts w:ascii="Book Antiqua" w:eastAsia="Times New Roman" w:hAnsi="Book Antiqua" w:cs="Calibri"/>
                <w:color w:val="000000"/>
                <w:kern w:val="0"/>
                <w:szCs w:val="22"/>
                <w:lang w:eastAsia="en-IN"/>
                <w14:ligatures w14:val="none"/>
              </w:rPr>
              <w:t xml:space="preserve">. </w:t>
            </w:r>
          </w:p>
          <w:p w14:paraId="3FF06FE7" w14:textId="77777777" w:rsidR="00500A06" w:rsidRPr="0048051A" w:rsidRDefault="00500A06"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We therefore </w:t>
            </w:r>
            <w:r w:rsidRPr="0048051A">
              <w:rPr>
                <w:rFonts w:ascii="Book Antiqua" w:eastAsia="Times New Roman" w:hAnsi="Book Antiqua" w:cs="Calibri"/>
                <w:b/>
                <w:bCs/>
                <w:color w:val="000000"/>
                <w:kern w:val="0"/>
                <w:szCs w:val="22"/>
                <w:lang w:eastAsia="en-IN"/>
                <w14:ligatures w14:val="none"/>
              </w:rPr>
              <w:t>request</w:t>
            </w:r>
            <w:r w:rsidRPr="0048051A">
              <w:rPr>
                <w:rFonts w:ascii="Book Antiqua" w:eastAsia="Times New Roman" w:hAnsi="Book Antiqua" w:cs="Calibri"/>
                <w:color w:val="000000"/>
                <w:kern w:val="0"/>
                <w:szCs w:val="22"/>
                <w:lang w:eastAsia="en-IN"/>
                <w14:ligatures w14:val="none"/>
              </w:rPr>
              <w:t xml:space="preserve">: </w:t>
            </w:r>
          </w:p>
          <w:p w14:paraId="0601C8E3" w14:textId="77777777" w:rsidR="00500A06" w:rsidRPr="0048051A" w:rsidRDefault="00500A06" w:rsidP="00E057B9">
            <w:pPr>
              <w:numPr>
                <w:ilvl w:val="0"/>
                <w:numId w:val="1"/>
              </w:num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A suitable revision of the estimated cost</w:t>
            </w:r>
            <w:r w:rsidRPr="0048051A">
              <w:rPr>
                <w:rFonts w:ascii="Book Antiqua" w:eastAsia="Times New Roman" w:hAnsi="Book Antiqua" w:cs="Calibri"/>
                <w:color w:val="000000"/>
                <w:kern w:val="0"/>
                <w:szCs w:val="22"/>
                <w:lang w:eastAsia="en-IN"/>
                <w14:ligatures w14:val="none"/>
              </w:rPr>
              <w:t xml:space="preserve">, and </w:t>
            </w:r>
          </w:p>
          <w:p w14:paraId="0D846963" w14:textId="77777777" w:rsidR="00500A06" w:rsidRPr="0048051A" w:rsidRDefault="00500A06" w:rsidP="00E057B9">
            <w:pPr>
              <w:numPr>
                <w:ilvl w:val="0"/>
                <w:numId w:val="1"/>
              </w:num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A two-week extension of bid validity </w:t>
            </w:r>
            <w:r w:rsidRPr="0048051A">
              <w:rPr>
                <w:rFonts w:ascii="Book Antiqua" w:eastAsia="Times New Roman" w:hAnsi="Book Antiqua" w:cs="Calibri"/>
                <w:color w:val="000000"/>
                <w:kern w:val="0"/>
                <w:szCs w:val="22"/>
                <w:lang w:eastAsia="en-IN"/>
                <w14:ligatures w14:val="none"/>
              </w:rPr>
              <w:t xml:space="preserve">from the date of issue of the revised estimate. </w:t>
            </w:r>
          </w:p>
          <w:p w14:paraId="2BCBA1EE" w14:textId="77777777" w:rsidR="00500A06" w:rsidRPr="0048051A" w:rsidRDefault="00500A06" w:rsidP="00E057B9">
            <w:pPr>
              <w:spacing w:after="0" w:line="240" w:lineRule="auto"/>
              <w:jc w:val="both"/>
              <w:rPr>
                <w:rFonts w:ascii="Book Antiqua" w:eastAsia="Times New Roman" w:hAnsi="Book Antiqua" w:cs="Calibri"/>
                <w:color w:val="000000"/>
                <w:kern w:val="0"/>
                <w:szCs w:val="22"/>
                <w:lang w:eastAsia="en-IN"/>
                <w14:ligatures w14:val="none"/>
              </w:rPr>
            </w:pPr>
          </w:p>
          <w:p w14:paraId="2989033D" w14:textId="3E0FEC52" w:rsidR="00500A06" w:rsidRPr="0048051A" w:rsidRDefault="00500A06"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We look forward to your kind consideration and an early favourable response.</w:t>
            </w:r>
          </w:p>
        </w:tc>
        <w:tc>
          <w:tcPr>
            <w:tcW w:w="2835" w:type="dxa"/>
            <w:tcBorders>
              <w:top w:val="single" w:sz="4" w:space="0" w:color="auto"/>
              <w:left w:val="nil"/>
              <w:bottom w:val="single" w:sz="4" w:space="0" w:color="auto"/>
              <w:right w:val="single" w:sz="4" w:space="0" w:color="auto"/>
            </w:tcBorders>
            <w:hideMark/>
          </w:tcPr>
          <w:p w14:paraId="084E0AB3" w14:textId="45E0A76D" w:rsidR="00500A06" w:rsidRPr="0048051A" w:rsidRDefault="00500A06"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Bidders to quote as per the terms and conditions of the Bidding documents.</w:t>
            </w:r>
          </w:p>
        </w:tc>
      </w:tr>
      <w:tr w:rsidR="002977EA" w:rsidRPr="0048051A" w14:paraId="108342BC" w14:textId="77777777" w:rsidTr="00C52D51">
        <w:trPr>
          <w:trHeight w:val="558"/>
        </w:trPr>
        <w:tc>
          <w:tcPr>
            <w:tcW w:w="960" w:type="dxa"/>
            <w:tcBorders>
              <w:top w:val="single" w:sz="4" w:space="0" w:color="auto"/>
              <w:left w:val="single" w:sz="4" w:space="0" w:color="auto"/>
              <w:bottom w:val="single" w:sz="4" w:space="0" w:color="auto"/>
              <w:right w:val="single" w:sz="4" w:space="0" w:color="auto"/>
            </w:tcBorders>
          </w:tcPr>
          <w:p w14:paraId="09AE169D" w14:textId="6AB01519" w:rsidR="002977EA" w:rsidRPr="0048051A" w:rsidRDefault="002977EA" w:rsidP="00E057B9">
            <w:pPr>
              <w:spacing w:after="0" w:line="240" w:lineRule="auto"/>
              <w:jc w:val="center"/>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2</w:t>
            </w:r>
          </w:p>
        </w:tc>
        <w:tc>
          <w:tcPr>
            <w:tcW w:w="2017" w:type="dxa"/>
            <w:tcBorders>
              <w:top w:val="single" w:sz="4" w:space="0" w:color="auto"/>
              <w:left w:val="nil"/>
              <w:bottom w:val="single" w:sz="4" w:space="0" w:color="auto"/>
              <w:right w:val="single" w:sz="4" w:space="0" w:color="auto"/>
            </w:tcBorders>
          </w:tcPr>
          <w:p w14:paraId="76A64612" w14:textId="68334CA2" w:rsidR="002977EA" w:rsidRPr="0048051A" w:rsidRDefault="002977EA" w:rsidP="002977EA">
            <w:pPr>
              <w:spacing w:after="0" w:line="240" w:lineRule="auto"/>
              <w:rPr>
                <w:rFonts w:ascii="Book Antiqua" w:eastAsia="Times New Roman" w:hAnsi="Book Antiqua" w:cs="Calibri"/>
                <w:color w:val="1F1F1F"/>
                <w:kern w:val="0"/>
                <w:szCs w:val="22"/>
                <w:lang w:eastAsia="en-IN"/>
                <w14:ligatures w14:val="none"/>
              </w:rPr>
            </w:pPr>
            <w:r w:rsidRPr="0048051A">
              <w:rPr>
                <w:rFonts w:ascii="Book Antiqua" w:eastAsia="Times New Roman" w:hAnsi="Book Antiqua" w:cs="Calibri"/>
                <w:color w:val="1F1F1F"/>
                <w:kern w:val="0"/>
                <w:szCs w:val="22"/>
                <w:lang w:eastAsia="en-IN"/>
                <w14:ligatures w14:val="none"/>
              </w:rPr>
              <w:t>__</w:t>
            </w:r>
          </w:p>
        </w:tc>
        <w:tc>
          <w:tcPr>
            <w:tcW w:w="7796" w:type="dxa"/>
            <w:tcBorders>
              <w:top w:val="single" w:sz="4" w:space="0" w:color="auto"/>
              <w:left w:val="nil"/>
              <w:bottom w:val="single" w:sz="4" w:space="0" w:color="auto"/>
              <w:right w:val="single" w:sz="4" w:space="0" w:color="auto"/>
            </w:tcBorders>
          </w:tcPr>
          <w:p w14:paraId="340A20A8" w14:textId="1E63A42B"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 We refer to the subject tender for HTLS reconductoring works. Upon detailed review of the tender requirements, scope, and estimated cost, we understand that this tender is largely based on old budget. </w:t>
            </w:r>
          </w:p>
          <w:p w14:paraId="0393AE11"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lastRenderedPageBreak/>
              <w:t xml:space="preserve">During this period, there has been a substantial escalation in input costs, particularly raw materials and foreign exchange, which significantly impacts project viability. </w:t>
            </w:r>
          </w:p>
          <w:p w14:paraId="53897E44"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We would like to highlight the following major cost escalations lastly similar awarded project since 2024: </w:t>
            </w:r>
          </w:p>
          <w:p w14:paraId="5CBDEA77"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a) Increase in </w:t>
            </w:r>
            <w:proofErr w:type="spellStart"/>
            <w:r w:rsidRPr="0048051A">
              <w:rPr>
                <w:rFonts w:ascii="Book Antiqua" w:eastAsia="Times New Roman" w:hAnsi="Book Antiqua" w:cs="Calibri"/>
                <w:b/>
                <w:bCs/>
                <w:color w:val="000000"/>
                <w:kern w:val="0"/>
                <w:szCs w:val="22"/>
                <w:lang w:eastAsia="en-IN"/>
                <w14:ligatures w14:val="none"/>
              </w:rPr>
              <w:t>Aluminum</w:t>
            </w:r>
            <w:proofErr w:type="spellEnd"/>
            <w:r w:rsidRPr="0048051A">
              <w:rPr>
                <w:rFonts w:ascii="Book Antiqua" w:eastAsia="Times New Roman" w:hAnsi="Book Antiqua" w:cs="Calibri"/>
                <w:b/>
                <w:bCs/>
                <w:color w:val="000000"/>
                <w:kern w:val="0"/>
                <w:szCs w:val="22"/>
                <w:lang w:eastAsia="en-IN"/>
                <w14:ligatures w14:val="none"/>
              </w:rPr>
              <w:t xml:space="preserve"> Prices </w:t>
            </w:r>
          </w:p>
          <w:p w14:paraId="7CD8C96B"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proofErr w:type="spellStart"/>
            <w:r w:rsidRPr="0048051A">
              <w:rPr>
                <w:rFonts w:ascii="Book Antiqua" w:eastAsia="Times New Roman" w:hAnsi="Book Antiqua" w:cs="Calibri"/>
                <w:color w:val="000000"/>
                <w:kern w:val="0"/>
                <w:szCs w:val="22"/>
                <w:lang w:eastAsia="en-IN"/>
                <w14:ligatures w14:val="none"/>
              </w:rPr>
              <w:t>Aluminum</w:t>
            </w:r>
            <w:proofErr w:type="spellEnd"/>
            <w:r w:rsidRPr="0048051A">
              <w:rPr>
                <w:rFonts w:ascii="Book Antiqua" w:eastAsia="Times New Roman" w:hAnsi="Book Antiqua" w:cs="Calibri"/>
                <w:color w:val="000000"/>
                <w:kern w:val="0"/>
                <w:szCs w:val="22"/>
                <w:lang w:eastAsia="en-IN"/>
                <w14:ligatures w14:val="none"/>
              </w:rPr>
              <w:t xml:space="preserve"> prices have increased from USD 2,250/MT to approximately USD 3,350/MT currently (March 2026), representing an escalation of nearly 50%. </w:t>
            </w:r>
          </w:p>
          <w:p w14:paraId="23B4072F"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b) Increase in Foreign Exchange Rate </w:t>
            </w:r>
          </w:p>
          <w:p w14:paraId="4C844C8C"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The USD–INR exchange rate has risen from approximately </w:t>
            </w:r>
            <w:r w:rsidRPr="0048051A">
              <w:rPr>
                <w:rFonts w:ascii="Times New Roman" w:eastAsia="Times New Roman" w:hAnsi="Times New Roman" w:cs="Times New Roman"/>
                <w:color w:val="000000"/>
                <w:kern w:val="0"/>
                <w:szCs w:val="22"/>
                <w:lang w:eastAsia="en-IN"/>
                <w14:ligatures w14:val="none"/>
              </w:rPr>
              <w:t>₹</w:t>
            </w:r>
            <w:r w:rsidRPr="0048051A">
              <w:rPr>
                <w:rFonts w:ascii="Book Antiqua" w:eastAsia="Times New Roman" w:hAnsi="Book Antiqua" w:cs="Calibri"/>
                <w:color w:val="000000"/>
                <w:kern w:val="0"/>
                <w:szCs w:val="22"/>
                <w:lang w:eastAsia="en-IN"/>
                <w14:ligatures w14:val="none"/>
              </w:rPr>
              <w:t xml:space="preserve">84 to </w:t>
            </w:r>
            <w:r w:rsidRPr="0048051A">
              <w:rPr>
                <w:rFonts w:ascii="Times New Roman" w:eastAsia="Times New Roman" w:hAnsi="Times New Roman" w:cs="Times New Roman"/>
                <w:color w:val="000000"/>
                <w:kern w:val="0"/>
                <w:szCs w:val="22"/>
                <w:lang w:eastAsia="en-IN"/>
                <w14:ligatures w14:val="none"/>
              </w:rPr>
              <w:t>₹</w:t>
            </w:r>
            <w:r w:rsidRPr="0048051A">
              <w:rPr>
                <w:rFonts w:ascii="Book Antiqua" w:eastAsia="Times New Roman" w:hAnsi="Book Antiqua" w:cs="Calibri"/>
                <w:color w:val="000000"/>
                <w:kern w:val="0"/>
                <w:szCs w:val="22"/>
                <w:lang w:eastAsia="en-IN"/>
                <w14:ligatures w14:val="none"/>
              </w:rPr>
              <w:t xml:space="preserve">94, indicating an increase of about 10-12%. </w:t>
            </w:r>
          </w:p>
          <w:p w14:paraId="0A7972BA"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c) Combined Impact </w:t>
            </w:r>
          </w:p>
          <w:tbl>
            <w:tblPr>
              <w:tblW w:w="0" w:type="auto"/>
              <w:tblLook w:val="04A0" w:firstRow="1" w:lastRow="0" w:firstColumn="1" w:lastColumn="0" w:noHBand="0" w:noVBand="1"/>
            </w:tblPr>
            <w:tblGrid>
              <w:gridCol w:w="4423"/>
              <w:gridCol w:w="1096"/>
              <w:gridCol w:w="973"/>
              <w:gridCol w:w="1088"/>
            </w:tblGrid>
            <w:tr w:rsidR="00A7380F" w:rsidRPr="0048051A" w14:paraId="0C8E8160" w14:textId="77777777" w:rsidTr="00676FB9">
              <w:trPr>
                <w:trHeight w:val="103"/>
              </w:trPr>
              <w:tc>
                <w:tcPr>
                  <w:tcW w:w="7580" w:type="dxa"/>
                  <w:gridSpan w:val="4"/>
                  <w:tcBorders>
                    <w:top w:val="nil"/>
                    <w:left w:val="nil"/>
                    <w:bottom w:val="nil"/>
                    <w:right w:val="nil"/>
                  </w:tcBorders>
                </w:tcPr>
                <w:p w14:paraId="2E304331" w14:textId="6445E7B7" w:rsidR="00A7380F" w:rsidRDefault="00A7380F" w:rsidP="00E057B9">
                  <w:pPr>
                    <w:spacing w:after="0" w:line="240" w:lineRule="auto"/>
                    <w:jc w:val="both"/>
                    <w:rPr>
                      <w:rFonts w:ascii="Book Antiqua" w:eastAsia="Times New Roman" w:hAnsi="Book Antiqua" w:cs="Calibri"/>
                      <w:b/>
                      <w:bCs/>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The combined effect of metal price escalation and forex variation results in an overall increase of approximately 75%, directly impacting the cost of HTLS conductors and associated supply items</w:t>
                  </w:r>
                </w:p>
              </w:tc>
            </w:tr>
            <w:tr w:rsidR="002977EA" w:rsidRPr="0048051A" w14:paraId="6E02AD10" w14:textId="77777777" w:rsidTr="0031519F">
              <w:trPr>
                <w:trHeight w:val="103"/>
              </w:trPr>
              <w:tc>
                <w:tcPr>
                  <w:tcW w:w="4423" w:type="dxa"/>
                  <w:tcBorders>
                    <w:top w:val="nil"/>
                    <w:left w:val="nil"/>
                    <w:bottom w:val="nil"/>
                    <w:right w:val="nil"/>
                  </w:tcBorders>
                  <w:hideMark/>
                </w:tcPr>
                <w:p w14:paraId="3C3F8911" w14:textId="74A3A85B" w:rsidR="0031519F" w:rsidRDefault="0031519F" w:rsidP="00E057B9">
                  <w:pPr>
                    <w:spacing w:after="0" w:line="240" w:lineRule="auto"/>
                    <w:jc w:val="both"/>
                    <w:rPr>
                      <w:rFonts w:ascii="Book Antiqua" w:eastAsia="Times New Roman" w:hAnsi="Book Antiqua" w:cs="Calibri"/>
                      <w:color w:val="000000"/>
                      <w:kern w:val="0"/>
                      <w:szCs w:val="22"/>
                      <w:lang w:eastAsia="en-IN"/>
                      <w14:ligatures w14:val="none"/>
                    </w:rPr>
                  </w:pPr>
                </w:p>
                <w:p w14:paraId="7032F134" w14:textId="4A1900C6"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Metal </w:t>
                  </w:r>
                </w:p>
              </w:tc>
              <w:tc>
                <w:tcPr>
                  <w:tcW w:w="1096" w:type="dxa"/>
                  <w:tcBorders>
                    <w:top w:val="nil"/>
                    <w:left w:val="nil"/>
                    <w:bottom w:val="nil"/>
                    <w:right w:val="nil"/>
                  </w:tcBorders>
                  <w:hideMark/>
                </w:tcPr>
                <w:p w14:paraId="774168A2" w14:textId="77777777" w:rsidR="0031519F" w:rsidRDefault="0031519F" w:rsidP="00E057B9">
                  <w:pPr>
                    <w:spacing w:after="0" w:line="240" w:lineRule="auto"/>
                    <w:jc w:val="both"/>
                    <w:rPr>
                      <w:rFonts w:ascii="Book Antiqua" w:eastAsia="Times New Roman" w:hAnsi="Book Antiqua" w:cs="Calibri"/>
                      <w:b/>
                      <w:bCs/>
                      <w:color w:val="000000"/>
                      <w:kern w:val="0"/>
                      <w:szCs w:val="22"/>
                      <w:lang w:eastAsia="en-IN"/>
                      <w14:ligatures w14:val="none"/>
                    </w:rPr>
                  </w:pPr>
                </w:p>
                <w:p w14:paraId="6D5C5B76" w14:textId="6C7A228C"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FY 24 </w:t>
                  </w:r>
                </w:p>
              </w:tc>
              <w:tc>
                <w:tcPr>
                  <w:tcW w:w="0" w:type="auto"/>
                  <w:tcBorders>
                    <w:top w:val="nil"/>
                    <w:left w:val="nil"/>
                    <w:bottom w:val="nil"/>
                    <w:right w:val="nil"/>
                  </w:tcBorders>
                  <w:hideMark/>
                </w:tcPr>
                <w:p w14:paraId="15CAABA4" w14:textId="77777777" w:rsidR="0031519F" w:rsidRDefault="0031519F" w:rsidP="00E057B9">
                  <w:pPr>
                    <w:spacing w:after="0" w:line="240" w:lineRule="auto"/>
                    <w:jc w:val="both"/>
                    <w:rPr>
                      <w:rFonts w:ascii="Book Antiqua" w:eastAsia="Times New Roman" w:hAnsi="Book Antiqua" w:cs="Calibri"/>
                      <w:b/>
                      <w:bCs/>
                      <w:color w:val="000000"/>
                      <w:kern w:val="0"/>
                      <w:szCs w:val="22"/>
                      <w:lang w:eastAsia="en-IN"/>
                      <w14:ligatures w14:val="none"/>
                    </w:rPr>
                  </w:pPr>
                </w:p>
                <w:p w14:paraId="0B2DBC93" w14:textId="02A65796"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March-26 </w:t>
                  </w:r>
                </w:p>
              </w:tc>
              <w:tc>
                <w:tcPr>
                  <w:tcW w:w="0" w:type="auto"/>
                  <w:tcBorders>
                    <w:top w:val="nil"/>
                    <w:left w:val="nil"/>
                    <w:bottom w:val="nil"/>
                    <w:right w:val="nil"/>
                  </w:tcBorders>
                  <w:hideMark/>
                </w:tcPr>
                <w:p w14:paraId="176807CC" w14:textId="77777777" w:rsidR="0031519F" w:rsidRDefault="0031519F" w:rsidP="00E057B9">
                  <w:pPr>
                    <w:spacing w:after="0" w:line="240" w:lineRule="auto"/>
                    <w:jc w:val="both"/>
                    <w:rPr>
                      <w:rFonts w:ascii="Book Antiqua" w:eastAsia="Times New Roman" w:hAnsi="Book Antiqua" w:cs="Calibri"/>
                      <w:b/>
                      <w:bCs/>
                      <w:color w:val="000000"/>
                      <w:kern w:val="0"/>
                      <w:szCs w:val="22"/>
                      <w:lang w:eastAsia="en-IN"/>
                      <w14:ligatures w14:val="none"/>
                    </w:rPr>
                  </w:pPr>
                </w:p>
                <w:p w14:paraId="74A80CDF" w14:textId="2696CF3D"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Increase % </w:t>
                  </w:r>
                </w:p>
              </w:tc>
            </w:tr>
            <w:tr w:rsidR="002977EA" w:rsidRPr="0048051A" w14:paraId="6A07F967" w14:textId="77777777" w:rsidTr="0031519F">
              <w:trPr>
                <w:trHeight w:val="103"/>
              </w:trPr>
              <w:tc>
                <w:tcPr>
                  <w:tcW w:w="4423" w:type="dxa"/>
                  <w:tcBorders>
                    <w:top w:val="nil"/>
                    <w:left w:val="nil"/>
                    <w:bottom w:val="nil"/>
                    <w:right w:val="nil"/>
                  </w:tcBorders>
                  <w:hideMark/>
                </w:tcPr>
                <w:p w14:paraId="77B627EF"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AL </w:t>
                  </w:r>
                </w:p>
              </w:tc>
              <w:tc>
                <w:tcPr>
                  <w:tcW w:w="1096" w:type="dxa"/>
                  <w:tcBorders>
                    <w:top w:val="nil"/>
                    <w:left w:val="nil"/>
                    <w:bottom w:val="nil"/>
                    <w:right w:val="nil"/>
                  </w:tcBorders>
                  <w:hideMark/>
                </w:tcPr>
                <w:p w14:paraId="2226F609"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2250 </w:t>
                  </w:r>
                </w:p>
              </w:tc>
              <w:tc>
                <w:tcPr>
                  <w:tcW w:w="0" w:type="auto"/>
                  <w:tcBorders>
                    <w:top w:val="nil"/>
                    <w:left w:val="nil"/>
                    <w:bottom w:val="nil"/>
                    <w:right w:val="nil"/>
                  </w:tcBorders>
                  <w:hideMark/>
                </w:tcPr>
                <w:p w14:paraId="4BB974A3"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3350 </w:t>
                  </w:r>
                </w:p>
              </w:tc>
              <w:tc>
                <w:tcPr>
                  <w:tcW w:w="0" w:type="auto"/>
                  <w:tcBorders>
                    <w:top w:val="nil"/>
                    <w:left w:val="nil"/>
                    <w:bottom w:val="nil"/>
                    <w:right w:val="nil"/>
                  </w:tcBorders>
                  <w:hideMark/>
                </w:tcPr>
                <w:p w14:paraId="24BC61FD"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51% </w:t>
                  </w:r>
                </w:p>
              </w:tc>
            </w:tr>
            <w:tr w:rsidR="002977EA" w:rsidRPr="0048051A" w14:paraId="72AC09EC" w14:textId="77777777" w:rsidTr="0031519F">
              <w:trPr>
                <w:trHeight w:val="103"/>
              </w:trPr>
              <w:tc>
                <w:tcPr>
                  <w:tcW w:w="4423" w:type="dxa"/>
                  <w:tcBorders>
                    <w:top w:val="nil"/>
                    <w:left w:val="nil"/>
                    <w:bottom w:val="nil"/>
                    <w:right w:val="nil"/>
                  </w:tcBorders>
                  <w:hideMark/>
                </w:tcPr>
                <w:p w14:paraId="4EF7E418"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Forex </w:t>
                  </w:r>
                </w:p>
              </w:tc>
              <w:tc>
                <w:tcPr>
                  <w:tcW w:w="1096" w:type="dxa"/>
                  <w:tcBorders>
                    <w:top w:val="nil"/>
                    <w:left w:val="nil"/>
                    <w:bottom w:val="nil"/>
                    <w:right w:val="nil"/>
                  </w:tcBorders>
                  <w:hideMark/>
                </w:tcPr>
                <w:p w14:paraId="16F65A57"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84 </w:t>
                  </w:r>
                </w:p>
              </w:tc>
              <w:tc>
                <w:tcPr>
                  <w:tcW w:w="0" w:type="auto"/>
                  <w:tcBorders>
                    <w:top w:val="nil"/>
                    <w:left w:val="nil"/>
                    <w:bottom w:val="nil"/>
                    <w:right w:val="nil"/>
                  </w:tcBorders>
                  <w:hideMark/>
                </w:tcPr>
                <w:p w14:paraId="03F48B7C"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94 </w:t>
                  </w:r>
                </w:p>
              </w:tc>
              <w:tc>
                <w:tcPr>
                  <w:tcW w:w="0" w:type="auto"/>
                  <w:tcBorders>
                    <w:top w:val="nil"/>
                    <w:left w:val="nil"/>
                    <w:bottom w:val="nil"/>
                    <w:right w:val="nil"/>
                  </w:tcBorders>
                  <w:hideMark/>
                </w:tcPr>
                <w:p w14:paraId="5797B949"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12% </w:t>
                  </w:r>
                </w:p>
              </w:tc>
            </w:tr>
            <w:tr w:rsidR="002977EA" w:rsidRPr="0048051A" w14:paraId="26461730" w14:textId="77777777" w:rsidTr="0031519F">
              <w:trPr>
                <w:trHeight w:val="103"/>
              </w:trPr>
              <w:tc>
                <w:tcPr>
                  <w:tcW w:w="4423" w:type="dxa"/>
                  <w:tcBorders>
                    <w:top w:val="nil"/>
                    <w:left w:val="nil"/>
                    <w:bottom w:val="nil"/>
                    <w:right w:val="nil"/>
                  </w:tcBorders>
                  <w:hideMark/>
                </w:tcPr>
                <w:p w14:paraId="4D058BDC"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Total (Rs/MT) </w:t>
                  </w:r>
                </w:p>
              </w:tc>
              <w:tc>
                <w:tcPr>
                  <w:tcW w:w="1096" w:type="dxa"/>
                  <w:tcBorders>
                    <w:top w:val="nil"/>
                    <w:left w:val="nil"/>
                    <w:bottom w:val="nil"/>
                    <w:right w:val="nil"/>
                  </w:tcBorders>
                  <w:hideMark/>
                </w:tcPr>
                <w:p w14:paraId="68D34AC4"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189,000 </w:t>
                  </w:r>
                </w:p>
              </w:tc>
              <w:tc>
                <w:tcPr>
                  <w:tcW w:w="0" w:type="auto"/>
                  <w:tcBorders>
                    <w:top w:val="nil"/>
                    <w:left w:val="nil"/>
                    <w:bottom w:val="nil"/>
                    <w:right w:val="nil"/>
                  </w:tcBorders>
                  <w:hideMark/>
                </w:tcPr>
                <w:p w14:paraId="0CE824DC"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314,900 </w:t>
                  </w:r>
                </w:p>
              </w:tc>
              <w:tc>
                <w:tcPr>
                  <w:tcW w:w="0" w:type="auto"/>
                  <w:tcBorders>
                    <w:top w:val="nil"/>
                    <w:left w:val="nil"/>
                    <w:bottom w:val="nil"/>
                    <w:right w:val="nil"/>
                  </w:tcBorders>
                  <w:hideMark/>
                </w:tcPr>
                <w:p w14:paraId="40DAD5BA"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67% </w:t>
                  </w:r>
                </w:p>
              </w:tc>
            </w:tr>
          </w:tbl>
          <w:p w14:paraId="3BECF6A4" w14:textId="77777777" w:rsidR="00A7380F" w:rsidRDefault="00A7380F" w:rsidP="00E057B9">
            <w:pPr>
              <w:spacing w:after="0" w:line="240" w:lineRule="auto"/>
              <w:jc w:val="both"/>
              <w:rPr>
                <w:rFonts w:ascii="Book Antiqua" w:eastAsia="Times New Roman" w:hAnsi="Book Antiqua" w:cs="Calibri"/>
                <w:b/>
                <w:bCs/>
                <w:color w:val="000000"/>
                <w:kern w:val="0"/>
                <w:szCs w:val="22"/>
                <w:lang w:eastAsia="en-IN"/>
                <w14:ligatures w14:val="none"/>
              </w:rPr>
            </w:pPr>
          </w:p>
          <w:p w14:paraId="69F46560" w14:textId="79C5FFA3"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 xml:space="preserve">d) Additional Cost Factors </w:t>
            </w:r>
          </w:p>
          <w:p w14:paraId="5FE20504" w14:textId="77777777" w:rsidR="002977EA" w:rsidRDefault="002977EA" w:rsidP="00E057B9">
            <w:pPr>
              <w:numPr>
                <w:ilvl w:val="0"/>
                <w:numId w:val="2"/>
              </w:num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Service cost escalation of at least 15~20% over the past three years </w:t>
            </w:r>
            <w:proofErr w:type="gramStart"/>
            <w:r w:rsidRPr="0048051A">
              <w:rPr>
                <w:rFonts w:ascii="Book Antiqua" w:eastAsia="Times New Roman" w:hAnsi="Book Antiqua" w:cs="Calibri"/>
                <w:color w:val="000000"/>
                <w:kern w:val="0"/>
                <w:szCs w:val="22"/>
                <w:lang w:eastAsia="en-IN"/>
                <w14:ligatures w14:val="none"/>
              </w:rPr>
              <w:t>and also</w:t>
            </w:r>
            <w:proofErr w:type="gramEnd"/>
            <w:r w:rsidRPr="0048051A">
              <w:rPr>
                <w:rFonts w:ascii="Book Antiqua" w:eastAsia="Times New Roman" w:hAnsi="Book Antiqua" w:cs="Calibri"/>
                <w:color w:val="000000"/>
                <w:kern w:val="0"/>
                <w:szCs w:val="22"/>
                <w:lang w:eastAsia="en-IN"/>
                <w14:ligatures w14:val="none"/>
              </w:rPr>
              <w:t xml:space="preserve"> new labour code applied in recent past and leading to higher labour cost as compliance. </w:t>
            </w:r>
          </w:p>
          <w:p w14:paraId="107DAB88" w14:textId="77777777" w:rsidR="00CC28E8" w:rsidRPr="0048051A" w:rsidRDefault="00CC28E8" w:rsidP="00CC28E8">
            <w:pPr>
              <w:spacing w:after="0" w:line="240" w:lineRule="auto"/>
              <w:jc w:val="both"/>
              <w:rPr>
                <w:rFonts w:ascii="Book Antiqua" w:eastAsia="Times New Roman" w:hAnsi="Book Antiqua" w:cs="Calibri"/>
                <w:color w:val="000000"/>
                <w:kern w:val="0"/>
                <w:szCs w:val="22"/>
                <w:lang w:eastAsia="en-IN"/>
                <w14:ligatures w14:val="none"/>
              </w:rPr>
            </w:pPr>
          </w:p>
          <w:p w14:paraId="7CE74EEE" w14:textId="0DED1A53" w:rsidR="002977EA" w:rsidRPr="0048051A" w:rsidRDefault="002977EA" w:rsidP="00E057B9">
            <w:pPr>
              <w:numPr>
                <w:ilvl w:val="0"/>
                <w:numId w:val="2"/>
              </w:num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Recent gulf war conflict is making market more volatile and cost risk is even higher due to currency pressure, supply chain disruption and market sentiment &amp; risk premium. </w:t>
            </w:r>
          </w:p>
          <w:p w14:paraId="50CBF08E" w14:textId="7777777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p>
          <w:p w14:paraId="3AD8473C" w14:textId="77777777" w:rsidR="002977E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Considering the above factors, the overall project cost has increased substantially. We would like to bring into your notice, Accordingly, quoting approximately </w:t>
            </w:r>
            <w:r w:rsidRPr="0048051A">
              <w:rPr>
                <w:rFonts w:ascii="Book Antiqua" w:eastAsia="Times New Roman" w:hAnsi="Book Antiqua" w:cs="Calibri"/>
                <w:b/>
                <w:bCs/>
                <w:color w:val="000000"/>
                <w:kern w:val="0"/>
                <w:szCs w:val="22"/>
                <w:lang w:eastAsia="en-IN"/>
                <w14:ligatures w14:val="none"/>
              </w:rPr>
              <w:t>40%</w:t>
            </w:r>
            <w:r w:rsidRPr="0048051A">
              <w:rPr>
                <w:rFonts w:ascii="Book Antiqua" w:eastAsia="Times New Roman" w:hAnsi="Book Antiqua" w:cs="Calibri"/>
                <w:b/>
                <w:bCs/>
                <w:i/>
                <w:iCs/>
                <w:color w:val="000000"/>
                <w:kern w:val="0"/>
                <w:szCs w:val="22"/>
                <w:lang w:eastAsia="en-IN"/>
                <w14:ligatures w14:val="none"/>
              </w:rPr>
              <w:t>-</w:t>
            </w:r>
            <w:r w:rsidRPr="0048051A">
              <w:rPr>
                <w:rFonts w:ascii="Book Antiqua" w:eastAsia="Times New Roman" w:hAnsi="Book Antiqua" w:cs="Calibri"/>
                <w:b/>
                <w:bCs/>
                <w:color w:val="000000"/>
                <w:kern w:val="0"/>
                <w:szCs w:val="22"/>
                <w:lang w:eastAsia="en-IN"/>
                <w14:ligatures w14:val="none"/>
              </w:rPr>
              <w:t xml:space="preserve">45% above the current estimated </w:t>
            </w:r>
            <w:r w:rsidRPr="0048051A">
              <w:rPr>
                <w:rFonts w:ascii="Book Antiqua" w:eastAsia="Times New Roman" w:hAnsi="Book Antiqua" w:cs="Calibri"/>
                <w:color w:val="000000"/>
                <w:kern w:val="0"/>
                <w:szCs w:val="22"/>
                <w:lang w:eastAsia="en-IN"/>
                <w14:ligatures w14:val="none"/>
              </w:rPr>
              <w:t xml:space="preserve">value be-comes necessary to ensure timely and quality execution of the project, particularly given the critical im-portance of this project. </w:t>
            </w:r>
          </w:p>
          <w:p w14:paraId="31D26BB6" w14:textId="77777777" w:rsidR="00CC28E8" w:rsidRPr="0048051A" w:rsidRDefault="00CC28E8" w:rsidP="00E057B9">
            <w:pPr>
              <w:spacing w:after="0" w:line="240" w:lineRule="auto"/>
              <w:jc w:val="both"/>
              <w:rPr>
                <w:rFonts w:ascii="Book Antiqua" w:eastAsia="Times New Roman" w:hAnsi="Book Antiqua" w:cs="Calibri"/>
                <w:color w:val="000000"/>
                <w:kern w:val="0"/>
                <w:szCs w:val="22"/>
                <w:lang w:eastAsia="en-IN"/>
                <w14:ligatures w14:val="none"/>
              </w:rPr>
            </w:pPr>
          </w:p>
          <w:p w14:paraId="1631A5DC" w14:textId="474C0D40" w:rsidR="002977E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M/s </w:t>
            </w:r>
            <w:r w:rsidR="004324C9">
              <w:rPr>
                <w:rFonts w:ascii="Book Antiqua" w:eastAsia="Times New Roman" w:hAnsi="Book Antiqua" w:cs="Calibri"/>
                <w:color w:val="000000"/>
                <w:kern w:val="0"/>
                <w:szCs w:val="22"/>
                <w:lang w:eastAsia="en-IN"/>
                <w14:ligatures w14:val="none"/>
              </w:rPr>
              <w:t>XXXXXX</w:t>
            </w:r>
            <w:r w:rsidRPr="0048051A">
              <w:rPr>
                <w:rFonts w:ascii="Book Antiqua" w:eastAsia="Times New Roman" w:hAnsi="Book Antiqua" w:cs="Calibri"/>
                <w:color w:val="000000"/>
                <w:kern w:val="0"/>
                <w:szCs w:val="22"/>
                <w:lang w:eastAsia="en-IN"/>
                <w14:ligatures w14:val="none"/>
              </w:rPr>
              <w:t xml:space="preserve"> remains committed to participating in this prestigious project and delivering it within stipulated timelines and quality standards. </w:t>
            </w:r>
          </w:p>
          <w:p w14:paraId="2E52E84C" w14:textId="77777777" w:rsidR="000C00B1" w:rsidRPr="0048051A" w:rsidRDefault="000C00B1" w:rsidP="00E057B9">
            <w:pPr>
              <w:spacing w:after="0" w:line="240" w:lineRule="auto"/>
              <w:jc w:val="both"/>
              <w:rPr>
                <w:rFonts w:ascii="Book Antiqua" w:eastAsia="Times New Roman" w:hAnsi="Book Antiqua" w:cs="Calibri"/>
                <w:color w:val="000000"/>
                <w:kern w:val="0"/>
                <w:szCs w:val="22"/>
                <w:lang w:eastAsia="en-IN"/>
                <w14:ligatures w14:val="none"/>
              </w:rPr>
            </w:pPr>
          </w:p>
          <w:p w14:paraId="09B4B354" w14:textId="68BCA0AA" w:rsidR="002977E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M/s </w:t>
            </w:r>
            <w:r w:rsidR="004324C9">
              <w:rPr>
                <w:rFonts w:ascii="Book Antiqua" w:eastAsia="Times New Roman" w:hAnsi="Book Antiqua" w:cs="Calibri"/>
                <w:color w:val="000000"/>
                <w:kern w:val="0"/>
                <w:szCs w:val="22"/>
                <w:lang w:eastAsia="en-IN"/>
                <w14:ligatures w14:val="none"/>
              </w:rPr>
              <w:t>XXXXXX</w:t>
            </w:r>
            <w:r w:rsidRPr="0048051A">
              <w:rPr>
                <w:rFonts w:ascii="Book Antiqua" w:eastAsia="Times New Roman" w:hAnsi="Book Antiqua" w:cs="Calibri"/>
                <w:color w:val="000000"/>
                <w:kern w:val="0"/>
                <w:szCs w:val="22"/>
                <w:lang w:eastAsia="en-IN"/>
                <w14:ligatures w14:val="none"/>
              </w:rPr>
              <w:t xml:space="preserve"> is proud to have been associated with PGCIL for the successful execution of the several HTLS network across India in the past. </w:t>
            </w:r>
          </w:p>
          <w:p w14:paraId="209CCA05" w14:textId="77777777" w:rsidR="00F571D2" w:rsidRPr="0048051A" w:rsidRDefault="00F571D2" w:rsidP="00E057B9">
            <w:pPr>
              <w:spacing w:after="0" w:line="240" w:lineRule="auto"/>
              <w:jc w:val="both"/>
              <w:rPr>
                <w:rFonts w:ascii="Book Antiqua" w:eastAsia="Times New Roman" w:hAnsi="Book Antiqua" w:cs="Calibri"/>
                <w:color w:val="000000"/>
                <w:kern w:val="0"/>
                <w:szCs w:val="22"/>
                <w:lang w:eastAsia="en-IN"/>
                <w14:ligatures w14:val="none"/>
              </w:rPr>
            </w:pPr>
          </w:p>
          <w:p w14:paraId="74505F26" w14:textId="77777777" w:rsidR="002977E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In view of the above, we humbly request your kind consideration for enhancement of the estimated budget, as the current estimate is not commercially viable under prevailing market conditions. </w:t>
            </w:r>
          </w:p>
          <w:p w14:paraId="0514D8B3" w14:textId="77777777" w:rsidR="00F571D2" w:rsidRPr="0048051A" w:rsidRDefault="00F571D2" w:rsidP="00E057B9">
            <w:pPr>
              <w:spacing w:after="0" w:line="240" w:lineRule="auto"/>
              <w:jc w:val="both"/>
              <w:rPr>
                <w:rFonts w:ascii="Book Antiqua" w:eastAsia="Times New Roman" w:hAnsi="Book Antiqua" w:cs="Calibri"/>
                <w:color w:val="000000"/>
                <w:kern w:val="0"/>
                <w:szCs w:val="22"/>
                <w:lang w:eastAsia="en-IN"/>
                <w14:ligatures w14:val="none"/>
              </w:rPr>
            </w:pPr>
          </w:p>
          <w:p w14:paraId="63DB13DA" w14:textId="0BCA0314"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 xml:space="preserve">We look forward to your </w:t>
            </w:r>
            <w:proofErr w:type="spellStart"/>
            <w:r w:rsidRPr="0048051A">
              <w:rPr>
                <w:rFonts w:ascii="Book Antiqua" w:eastAsia="Times New Roman" w:hAnsi="Book Antiqua" w:cs="Calibri"/>
                <w:color w:val="000000"/>
                <w:kern w:val="0"/>
                <w:szCs w:val="22"/>
                <w:lang w:eastAsia="en-IN"/>
                <w14:ligatures w14:val="none"/>
              </w:rPr>
              <w:t>favorable</w:t>
            </w:r>
            <w:proofErr w:type="spellEnd"/>
            <w:r w:rsidRPr="0048051A">
              <w:rPr>
                <w:rFonts w:ascii="Book Antiqua" w:eastAsia="Times New Roman" w:hAnsi="Book Antiqua" w:cs="Calibri"/>
                <w:color w:val="000000"/>
                <w:kern w:val="0"/>
                <w:szCs w:val="22"/>
                <w:lang w:eastAsia="en-IN"/>
                <w14:ligatures w14:val="none"/>
              </w:rPr>
              <w:t xml:space="preserve"> response and kindly request an early revision of the estimate. Additionally, we would appreciate it if the bid validity could be extended for </w:t>
            </w:r>
            <w:r w:rsidRPr="0048051A">
              <w:rPr>
                <w:rFonts w:ascii="Book Antiqua" w:eastAsia="Times New Roman" w:hAnsi="Book Antiqua" w:cs="Calibri"/>
                <w:b/>
                <w:bCs/>
                <w:color w:val="000000"/>
                <w:kern w:val="0"/>
                <w:szCs w:val="22"/>
                <w:lang w:eastAsia="en-IN"/>
                <w14:ligatures w14:val="none"/>
              </w:rPr>
              <w:t>a period of two weeks following the revision of the budget.</w:t>
            </w:r>
          </w:p>
        </w:tc>
        <w:tc>
          <w:tcPr>
            <w:tcW w:w="2835" w:type="dxa"/>
            <w:tcBorders>
              <w:top w:val="single" w:sz="4" w:space="0" w:color="auto"/>
              <w:left w:val="nil"/>
              <w:bottom w:val="single" w:sz="4" w:space="0" w:color="auto"/>
              <w:right w:val="single" w:sz="4" w:space="0" w:color="auto"/>
            </w:tcBorders>
          </w:tcPr>
          <w:p w14:paraId="66958103" w14:textId="422DD7B7" w:rsidR="002977EA" w:rsidRPr="0048051A" w:rsidRDefault="002977EA" w:rsidP="00E057B9">
            <w:pPr>
              <w:spacing w:after="0" w:line="240" w:lineRule="auto"/>
              <w:jc w:val="both"/>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lastRenderedPageBreak/>
              <w:t>Bidders to quote as per the terms and conditions of the Bidding documents.</w:t>
            </w:r>
          </w:p>
        </w:tc>
      </w:tr>
    </w:tbl>
    <w:p w14:paraId="388F4B3A" w14:textId="77777777" w:rsidR="00456A72" w:rsidRPr="0048051A" w:rsidRDefault="00456A72">
      <w:pPr>
        <w:rPr>
          <w:rFonts w:ascii="Book Antiqua" w:hAnsi="Book Antiqua"/>
          <w:szCs w:val="22"/>
        </w:rPr>
      </w:pPr>
    </w:p>
    <w:sectPr w:rsidR="00456A72" w:rsidRPr="0048051A" w:rsidSect="00F31D9C">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2762B" w14:textId="77777777" w:rsidR="00FE4AE8" w:rsidRDefault="00FE4AE8" w:rsidP="001568DB">
      <w:pPr>
        <w:spacing w:after="0" w:line="240" w:lineRule="auto"/>
      </w:pPr>
      <w:r>
        <w:separator/>
      </w:r>
    </w:p>
  </w:endnote>
  <w:endnote w:type="continuationSeparator" w:id="0">
    <w:p w14:paraId="14D72134" w14:textId="77777777" w:rsidR="00FE4AE8" w:rsidRDefault="00FE4AE8" w:rsidP="00156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851386"/>
      <w:docPartObj>
        <w:docPartGallery w:val="Page Numbers (Bottom of Page)"/>
        <w:docPartUnique/>
      </w:docPartObj>
    </w:sdtPr>
    <w:sdtEndPr/>
    <w:sdtContent>
      <w:sdt>
        <w:sdtPr>
          <w:id w:val="-1705238520"/>
          <w:docPartObj>
            <w:docPartGallery w:val="Page Numbers (Top of Page)"/>
            <w:docPartUnique/>
          </w:docPartObj>
        </w:sdtPr>
        <w:sdtEndPr/>
        <w:sdtContent>
          <w:p w14:paraId="29E941B8" w14:textId="328E794A" w:rsidR="0050275B" w:rsidRDefault="0050275B" w:rsidP="0050275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50E62F4" w14:textId="77777777" w:rsidR="0050275B" w:rsidRDefault="00502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A8FF" w14:textId="77777777" w:rsidR="00FE4AE8" w:rsidRDefault="00FE4AE8" w:rsidP="001568DB">
      <w:pPr>
        <w:spacing w:after="0" w:line="240" w:lineRule="auto"/>
      </w:pPr>
      <w:r>
        <w:separator/>
      </w:r>
    </w:p>
  </w:footnote>
  <w:footnote w:type="continuationSeparator" w:id="0">
    <w:p w14:paraId="434F55D2" w14:textId="77777777" w:rsidR="00FE4AE8" w:rsidRDefault="00FE4AE8" w:rsidP="001568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74EAA" w14:textId="24FB85C8" w:rsidR="00FD3AAD" w:rsidRPr="00F36B3D" w:rsidRDefault="00FD3AAD" w:rsidP="00FD3AAD">
    <w:pPr>
      <w:ind w:right="208"/>
      <w:jc w:val="both"/>
      <w:rPr>
        <w:rFonts w:ascii="Book Antiqua" w:hAnsi="Book Antiqua" w:cs="Arial"/>
        <w:b/>
        <w:bCs/>
        <w:sz w:val="20"/>
      </w:rPr>
    </w:pPr>
    <w:r>
      <w:rPr>
        <w:rFonts w:ascii="Book Antiqua" w:hAnsi="Book Antiqua"/>
        <w:b/>
        <w:bCs/>
        <w:sz w:val="20"/>
        <w:lang w:eastAsia="en-IN"/>
      </w:rPr>
      <w:t>Clarification</w:t>
    </w:r>
    <w:r w:rsidRPr="00F36B3D">
      <w:rPr>
        <w:rFonts w:ascii="Book Antiqua" w:hAnsi="Book Antiqua"/>
        <w:b/>
        <w:bCs/>
        <w:sz w:val="20"/>
        <w:lang w:eastAsia="en-IN"/>
      </w:rPr>
      <w:t xml:space="preserve"> No-</w:t>
    </w:r>
    <w:r w:rsidR="000955C8">
      <w:rPr>
        <w:rFonts w:ascii="Book Antiqua" w:hAnsi="Book Antiqua"/>
        <w:b/>
        <w:bCs/>
        <w:sz w:val="20"/>
        <w:lang w:eastAsia="en-IN"/>
      </w:rPr>
      <w:t>I</w:t>
    </w:r>
    <w:r w:rsidRPr="00F36B3D">
      <w:rPr>
        <w:rFonts w:ascii="Book Antiqua" w:hAnsi="Book Antiqua"/>
        <w:b/>
        <w:bCs/>
        <w:sz w:val="20"/>
        <w:lang w:eastAsia="en-IN"/>
      </w:rPr>
      <w:t>I to the Bidding Documents for Reconductoring Package OH01 for (</w:t>
    </w:r>
    <w:proofErr w:type="spellStart"/>
    <w:r w:rsidRPr="00F36B3D">
      <w:rPr>
        <w:rFonts w:ascii="Book Antiqua" w:hAnsi="Book Antiqua"/>
        <w:b/>
        <w:bCs/>
        <w:sz w:val="20"/>
        <w:lang w:eastAsia="en-IN"/>
      </w:rPr>
      <w:t>i</w:t>
    </w:r>
    <w:proofErr w:type="spellEnd"/>
    <w:r w:rsidRPr="00F36B3D">
      <w:rPr>
        <w:rFonts w:ascii="Book Antiqua" w:hAnsi="Book Antiqua"/>
        <w:b/>
        <w:bCs/>
        <w:sz w:val="20"/>
        <w:lang w:eastAsia="en-IN"/>
      </w:rPr>
      <w:t xml:space="preserve">) Reconductoring of ISTS portion of </w:t>
    </w:r>
    <w:proofErr w:type="spellStart"/>
    <w:r w:rsidRPr="00F36B3D">
      <w:rPr>
        <w:rFonts w:ascii="Book Antiqua" w:hAnsi="Book Antiqua"/>
        <w:b/>
        <w:bCs/>
        <w:sz w:val="20"/>
        <w:lang w:eastAsia="en-IN"/>
      </w:rPr>
      <w:t>Balipara</w:t>
    </w:r>
    <w:proofErr w:type="spellEnd"/>
    <w:r w:rsidRPr="00F36B3D">
      <w:rPr>
        <w:rFonts w:ascii="Book Antiqua" w:hAnsi="Book Antiqua"/>
        <w:b/>
        <w:bCs/>
        <w:sz w:val="20"/>
        <w:lang w:eastAsia="en-IN"/>
      </w:rPr>
      <w:t xml:space="preserve"> (POWERGRID) –</w:t>
    </w:r>
    <w:proofErr w:type="spellStart"/>
    <w:r w:rsidRPr="00F36B3D">
      <w:rPr>
        <w:rFonts w:ascii="Book Antiqua" w:hAnsi="Book Antiqua"/>
        <w:b/>
        <w:bCs/>
        <w:sz w:val="20"/>
        <w:lang w:eastAsia="en-IN"/>
      </w:rPr>
      <w:t>Sonabil</w:t>
    </w:r>
    <w:proofErr w:type="spellEnd"/>
    <w:r w:rsidRPr="00F36B3D">
      <w:rPr>
        <w:rFonts w:ascii="Book Antiqua" w:hAnsi="Book Antiqua"/>
        <w:b/>
        <w:bCs/>
        <w:sz w:val="20"/>
        <w:lang w:eastAsia="en-IN"/>
      </w:rPr>
      <w:t xml:space="preserve"> (POWERGRID) </w:t>
    </w:r>
    <w:proofErr w:type="spellStart"/>
    <w:r w:rsidRPr="00F36B3D">
      <w:rPr>
        <w:rFonts w:ascii="Book Antiqua" w:hAnsi="Book Antiqua"/>
        <w:b/>
        <w:bCs/>
        <w:sz w:val="20"/>
        <w:lang w:eastAsia="en-IN"/>
      </w:rPr>
      <w:t>ckt</w:t>
    </w:r>
    <w:proofErr w:type="spellEnd"/>
    <w:r w:rsidRPr="00F36B3D">
      <w:rPr>
        <w:rFonts w:ascii="Book Antiqua" w:hAnsi="Book Antiqua"/>
        <w:b/>
        <w:bCs/>
        <w:sz w:val="20"/>
        <w:lang w:eastAsia="en-IN"/>
      </w:rPr>
      <w:t xml:space="preserve">-I 220 kV line; (ii) Reconductoring of ISTS portion of </w:t>
    </w:r>
    <w:proofErr w:type="spellStart"/>
    <w:r w:rsidRPr="00F36B3D">
      <w:rPr>
        <w:rFonts w:ascii="Book Antiqua" w:hAnsi="Book Antiqua"/>
        <w:b/>
        <w:bCs/>
        <w:sz w:val="20"/>
        <w:lang w:eastAsia="en-IN"/>
      </w:rPr>
      <w:t>Balipara</w:t>
    </w:r>
    <w:proofErr w:type="spellEnd"/>
    <w:r w:rsidRPr="00F36B3D">
      <w:rPr>
        <w:rFonts w:ascii="Book Antiqua" w:hAnsi="Book Antiqua"/>
        <w:b/>
        <w:bCs/>
        <w:sz w:val="20"/>
        <w:lang w:eastAsia="en-IN"/>
      </w:rPr>
      <w:t xml:space="preserve">  (POWERGRID) – </w:t>
    </w:r>
    <w:proofErr w:type="spellStart"/>
    <w:r w:rsidRPr="00F36B3D">
      <w:rPr>
        <w:rFonts w:ascii="Book Antiqua" w:hAnsi="Book Antiqua"/>
        <w:b/>
        <w:bCs/>
        <w:sz w:val="20"/>
        <w:lang w:eastAsia="en-IN"/>
      </w:rPr>
      <w:t>Sonabil</w:t>
    </w:r>
    <w:proofErr w:type="spellEnd"/>
    <w:r w:rsidRPr="00F36B3D">
      <w:rPr>
        <w:rFonts w:ascii="Book Antiqua" w:hAnsi="Book Antiqua"/>
        <w:b/>
        <w:bCs/>
        <w:sz w:val="20"/>
        <w:lang w:eastAsia="en-IN"/>
      </w:rPr>
      <w:t xml:space="preserve"> (POWERGRID) </w:t>
    </w:r>
    <w:proofErr w:type="spellStart"/>
    <w:r w:rsidRPr="00F36B3D">
      <w:rPr>
        <w:rFonts w:ascii="Book Antiqua" w:hAnsi="Book Antiqua"/>
        <w:b/>
        <w:bCs/>
        <w:sz w:val="20"/>
        <w:lang w:eastAsia="en-IN"/>
      </w:rPr>
      <w:t>ckt</w:t>
    </w:r>
    <w:proofErr w:type="spellEnd"/>
    <w:r w:rsidRPr="00F36B3D">
      <w:rPr>
        <w:rFonts w:ascii="Book Antiqua" w:hAnsi="Book Antiqua"/>
        <w:b/>
        <w:bCs/>
        <w:sz w:val="20"/>
        <w:lang w:eastAsia="en-IN"/>
      </w:rPr>
      <w:t xml:space="preserve">-II 220kV line; (iii) Reconductoring of </w:t>
    </w:r>
    <w:proofErr w:type="spellStart"/>
    <w:r w:rsidRPr="00F36B3D">
      <w:rPr>
        <w:rFonts w:ascii="Book Antiqua" w:hAnsi="Book Antiqua"/>
        <w:b/>
        <w:bCs/>
        <w:sz w:val="20"/>
        <w:lang w:eastAsia="en-IN"/>
      </w:rPr>
      <w:t>Silchar</w:t>
    </w:r>
    <w:proofErr w:type="spellEnd"/>
    <w:r w:rsidRPr="00F36B3D">
      <w:rPr>
        <w:rFonts w:ascii="Book Antiqua" w:hAnsi="Book Antiqua"/>
        <w:b/>
        <w:bCs/>
        <w:sz w:val="20"/>
        <w:lang w:eastAsia="en-IN"/>
      </w:rPr>
      <w:t xml:space="preserve"> (POWERGRID) - </w:t>
    </w:r>
    <w:proofErr w:type="spellStart"/>
    <w:r w:rsidRPr="00F36B3D">
      <w:rPr>
        <w:rFonts w:ascii="Book Antiqua" w:hAnsi="Book Antiqua"/>
        <w:b/>
        <w:bCs/>
        <w:sz w:val="20"/>
        <w:lang w:eastAsia="en-IN"/>
      </w:rPr>
      <w:t>Srikona</w:t>
    </w:r>
    <w:proofErr w:type="spellEnd"/>
    <w:r w:rsidRPr="00F36B3D">
      <w:rPr>
        <w:rFonts w:ascii="Book Antiqua" w:hAnsi="Book Antiqua"/>
        <w:b/>
        <w:bCs/>
        <w:sz w:val="20"/>
        <w:lang w:eastAsia="en-IN"/>
      </w:rPr>
      <w:t xml:space="preserve"> (AEGCL) 132 kV D/c line; (iv) Reconductoring of </w:t>
    </w:r>
    <w:proofErr w:type="spellStart"/>
    <w:r w:rsidRPr="00F36B3D">
      <w:rPr>
        <w:rFonts w:ascii="Book Antiqua" w:hAnsi="Book Antiqua"/>
        <w:b/>
        <w:bCs/>
        <w:sz w:val="20"/>
        <w:lang w:eastAsia="en-IN"/>
      </w:rPr>
      <w:t>Ranganadi</w:t>
    </w:r>
    <w:proofErr w:type="spellEnd"/>
    <w:r w:rsidRPr="00F36B3D">
      <w:rPr>
        <w:rFonts w:ascii="Book Antiqua" w:hAnsi="Book Antiqua"/>
        <w:b/>
        <w:bCs/>
        <w:sz w:val="20"/>
        <w:lang w:eastAsia="en-IN"/>
      </w:rPr>
      <w:t xml:space="preserve"> (NEEPCO) – Ziro (POWERGRID) 132 kV S/c line associated with North Eastern Region Expansion Scheme-XXX (NERES-XXX); Specification No.: CC/NT/W-COND/DOM/A06/25/16437</w:t>
    </w:r>
  </w:p>
  <w:p w14:paraId="42320FE0" w14:textId="77777777" w:rsidR="00FD3AAD" w:rsidRDefault="00FD3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6BC1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1EC0BC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72595731">
    <w:abstractNumId w:val="1"/>
  </w:num>
  <w:num w:numId="2" w16cid:durableId="179726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B53"/>
    <w:rsid w:val="0000687F"/>
    <w:rsid w:val="000955C8"/>
    <w:rsid w:val="000C00B1"/>
    <w:rsid w:val="000D427A"/>
    <w:rsid w:val="000F3173"/>
    <w:rsid w:val="001568DB"/>
    <w:rsid w:val="001768BD"/>
    <w:rsid w:val="001912F8"/>
    <w:rsid w:val="00232BDA"/>
    <w:rsid w:val="0025592F"/>
    <w:rsid w:val="002748D9"/>
    <w:rsid w:val="002802A0"/>
    <w:rsid w:val="002977EA"/>
    <w:rsid w:val="002C5028"/>
    <w:rsid w:val="0031519F"/>
    <w:rsid w:val="00412B98"/>
    <w:rsid w:val="004324C9"/>
    <w:rsid w:val="00444B53"/>
    <w:rsid w:val="00456A72"/>
    <w:rsid w:val="00456DDA"/>
    <w:rsid w:val="0048051A"/>
    <w:rsid w:val="004D2C65"/>
    <w:rsid w:val="00500A06"/>
    <w:rsid w:val="0050275B"/>
    <w:rsid w:val="005C02E8"/>
    <w:rsid w:val="006B626E"/>
    <w:rsid w:val="0077548B"/>
    <w:rsid w:val="00991E0A"/>
    <w:rsid w:val="00A7380F"/>
    <w:rsid w:val="00A8338B"/>
    <w:rsid w:val="00C52D51"/>
    <w:rsid w:val="00C947CC"/>
    <w:rsid w:val="00CC28E8"/>
    <w:rsid w:val="00D409C7"/>
    <w:rsid w:val="00DD29E1"/>
    <w:rsid w:val="00DD59C6"/>
    <w:rsid w:val="00E057B9"/>
    <w:rsid w:val="00E17C5D"/>
    <w:rsid w:val="00E3222C"/>
    <w:rsid w:val="00E72623"/>
    <w:rsid w:val="00F31D9C"/>
    <w:rsid w:val="00F571D2"/>
    <w:rsid w:val="00F718BF"/>
    <w:rsid w:val="00FB0A06"/>
    <w:rsid w:val="00FD3AAD"/>
    <w:rsid w:val="00FE363C"/>
    <w:rsid w:val="00FE4AE8"/>
    <w:rsid w:val="00FF23C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3117F"/>
  <w15:chartTrackingRefBased/>
  <w15:docId w15:val="{65EBAD8D-85D0-4AE0-A42C-21D24FFF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4B5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444B5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444B5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444B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4B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4B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4B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4B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4B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4B5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44B5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44B5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44B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4B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4B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4B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4B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4B53"/>
    <w:rPr>
      <w:rFonts w:eastAsiaTheme="majorEastAsia" w:cstheme="majorBidi"/>
      <w:color w:val="272727" w:themeColor="text1" w:themeTint="D8"/>
    </w:rPr>
  </w:style>
  <w:style w:type="paragraph" w:styleId="Title">
    <w:name w:val="Title"/>
    <w:basedOn w:val="Normal"/>
    <w:next w:val="Normal"/>
    <w:link w:val="TitleChar"/>
    <w:uiPriority w:val="10"/>
    <w:qFormat/>
    <w:rsid w:val="00444B5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444B5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44B5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444B5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44B53"/>
    <w:pPr>
      <w:spacing w:before="160"/>
      <w:jc w:val="center"/>
    </w:pPr>
    <w:rPr>
      <w:i/>
      <w:iCs/>
      <w:color w:val="404040" w:themeColor="text1" w:themeTint="BF"/>
    </w:rPr>
  </w:style>
  <w:style w:type="character" w:customStyle="1" w:styleId="QuoteChar">
    <w:name w:val="Quote Char"/>
    <w:basedOn w:val="DefaultParagraphFont"/>
    <w:link w:val="Quote"/>
    <w:uiPriority w:val="29"/>
    <w:rsid w:val="00444B53"/>
    <w:rPr>
      <w:i/>
      <w:iCs/>
      <w:color w:val="404040" w:themeColor="text1" w:themeTint="BF"/>
    </w:rPr>
  </w:style>
  <w:style w:type="paragraph" w:styleId="ListParagraph">
    <w:name w:val="List Paragraph"/>
    <w:basedOn w:val="Normal"/>
    <w:uiPriority w:val="34"/>
    <w:qFormat/>
    <w:rsid w:val="00444B53"/>
    <w:pPr>
      <w:ind w:left="720"/>
      <w:contextualSpacing/>
    </w:pPr>
  </w:style>
  <w:style w:type="character" w:styleId="IntenseEmphasis">
    <w:name w:val="Intense Emphasis"/>
    <w:basedOn w:val="DefaultParagraphFont"/>
    <w:uiPriority w:val="21"/>
    <w:qFormat/>
    <w:rsid w:val="00444B53"/>
    <w:rPr>
      <w:i/>
      <w:iCs/>
      <w:color w:val="0F4761" w:themeColor="accent1" w:themeShade="BF"/>
    </w:rPr>
  </w:style>
  <w:style w:type="paragraph" w:styleId="IntenseQuote">
    <w:name w:val="Intense Quote"/>
    <w:basedOn w:val="Normal"/>
    <w:next w:val="Normal"/>
    <w:link w:val="IntenseQuoteChar"/>
    <w:uiPriority w:val="30"/>
    <w:qFormat/>
    <w:rsid w:val="00444B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4B53"/>
    <w:rPr>
      <w:i/>
      <w:iCs/>
      <w:color w:val="0F4761" w:themeColor="accent1" w:themeShade="BF"/>
    </w:rPr>
  </w:style>
  <w:style w:type="character" w:styleId="IntenseReference">
    <w:name w:val="Intense Reference"/>
    <w:basedOn w:val="DefaultParagraphFont"/>
    <w:uiPriority w:val="32"/>
    <w:qFormat/>
    <w:rsid w:val="00444B53"/>
    <w:rPr>
      <w:b/>
      <w:bCs/>
      <w:smallCaps/>
      <w:color w:val="0F4761" w:themeColor="accent1" w:themeShade="BF"/>
      <w:spacing w:val="5"/>
    </w:rPr>
  </w:style>
  <w:style w:type="paragraph" w:styleId="Header">
    <w:name w:val="header"/>
    <w:basedOn w:val="Normal"/>
    <w:link w:val="HeaderChar"/>
    <w:uiPriority w:val="99"/>
    <w:unhideWhenUsed/>
    <w:rsid w:val="001568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68DB"/>
  </w:style>
  <w:style w:type="paragraph" w:styleId="Footer">
    <w:name w:val="footer"/>
    <w:basedOn w:val="Normal"/>
    <w:link w:val="FooterChar"/>
    <w:uiPriority w:val="99"/>
    <w:unhideWhenUsed/>
    <w:rsid w:val="001568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8DB"/>
  </w:style>
  <w:style w:type="character" w:styleId="Strong">
    <w:name w:val="Strong"/>
    <w:uiPriority w:val="22"/>
    <w:qFormat/>
    <w:rsid w:val="00E726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609</Words>
  <Characters>3694</Characters>
  <Application>Microsoft Office Word</Application>
  <DocSecurity>0</DocSecurity>
  <Lines>136</Lines>
  <Paragraphs>97</Paragraphs>
  <ScaleCrop>false</ScaleCrop>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Kaithwas {विनय कुमार कैथवास}</dc:creator>
  <cp:keywords/>
  <dc:description/>
  <cp:lastModifiedBy>Vakati Silpa {वाकाटि शिल्पा}</cp:lastModifiedBy>
  <cp:revision>32</cp:revision>
  <dcterms:created xsi:type="dcterms:W3CDTF">2026-01-09T09:09:00Z</dcterms:created>
  <dcterms:modified xsi:type="dcterms:W3CDTF">2026-03-27T10:47:00Z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2026-01-09T09:09:43Z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070c7db7-e5ee-4680-b9a6-8c39ebd74d60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